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3C677" w14:textId="77777777" w:rsidR="00C117EF" w:rsidRDefault="008754FF">
      <w:pPr>
        <w:spacing w:after="20"/>
        <w:jc w:val="center"/>
      </w:pPr>
      <w:r>
        <w:rPr>
          <w:b/>
          <w:bCs/>
          <w:color w:val="1F4E5F"/>
          <w:sz w:val="44"/>
          <w:szCs w:val="44"/>
        </w:rPr>
        <w:t>SCOTT MARSHALL</w:t>
      </w:r>
    </w:p>
    <w:p w14:paraId="36C19713" w14:textId="77777777" w:rsidR="00C117EF" w:rsidRDefault="008754FF">
      <w:pPr>
        <w:spacing w:after="50"/>
        <w:jc w:val="center"/>
      </w:pPr>
      <w:r>
        <w:rPr>
          <w:b/>
          <w:bCs/>
          <w:sz w:val="22"/>
          <w:szCs w:val="22"/>
        </w:rPr>
        <w:t>AI Transformation &amp; Adoption · Programme Delivery · AI Governance · Regulated Energy &amp; Utilities</w:t>
      </w:r>
    </w:p>
    <w:p w14:paraId="3BCD978F" w14:textId="77777777" w:rsidR="00C117EF" w:rsidRDefault="008754FF">
      <w:pPr>
        <w:spacing w:after="10"/>
        <w:jc w:val="center"/>
      </w:pPr>
      <w:r>
        <w:rPr>
          <w:sz w:val="20"/>
          <w:szCs w:val="20"/>
        </w:rPr>
        <w:t>London N10 | scottmarshall030369@gmail.com | 07710 780915</w:t>
      </w:r>
    </w:p>
    <w:p w14:paraId="593C12C1" w14:textId="77777777" w:rsidR="00C117EF" w:rsidRDefault="008754FF">
      <w:pPr>
        <w:spacing w:after="10"/>
        <w:jc w:val="center"/>
      </w:pPr>
      <w:r w:rsidRPr="00827C82">
        <w:rPr>
          <w:b/>
          <w:bCs/>
          <w:sz w:val="20"/>
          <w:szCs w:val="20"/>
        </w:rPr>
        <w:t>Portfolio &amp; case studies: www.scottdmarshall.com</w:t>
      </w:r>
      <w:r>
        <w:rPr>
          <w:sz w:val="20"/>
          <w:szCs w:val="20"/>
        </w:rPr>
        <w:t xml:space="preserve"> | linkedin.com/in/scott-marshall-9a33907b</w:t>
      </w:r>
    </w:p>
    <w:p w14:paraId="70A84CBA" w14:textId="77777777" w:rsidR="00C117EF" w:rsidRDefault="008754FF">
      <w:pPr>
        <w:spacing w:after="60"/>
        <w:jc w:val="center"/>
      </w:pPr>
      <w:r>
        <w:rPr>
          <w:sz w:val="20"/>
          <w:szCs w:val="20"/>
        </w:rPr>
        <w:t>Available for permanent or contract engagements</w:t>
      </w:r>
    </w:p>
    <w:p w14:paraId="03947AE1" w14:textId="77777777" w:rsidR="00C117EF" w:rsidRDefault="008754FF">
      <w:pPr>
        <w:pBdr>
          <w:bottom w:val="single" w:sz="6" w:space="0" w:color="1F4E5F"/>
        </w:pBdr>
        <w:spacing w:before="200" w:after="100"/>
      </w:pPr>
      <w:r>
        <w:rPr>
          <w:b/>
          <w:bCs/>
          <w:caps/>
          <w:color w:val="1F4E5F"/>
          <w:sz w:val="24"/>
          <w:szCs w:val="24"/>
        </w:rPr>
        <w:t>Professional Summary</w:t>
      </w:r>
    </w:p>
    <w:p w14:paraId="723AAE3A" w14:textId="18766A38" w:rsidR="00C117EF" w:rsidRDefault="008754FF">
      <w:pPr>
        <w:spacing w:after="60"/>
        <w:jc w:val="both"/>
      </w:pPr>
      <w:r>
        <w:t xml:space="preserve">AI transformation and adoption lead with 36 years in enterprise IT delivery, specialising in getting AI genuinely used inside regulated, audit-heavy organisations. Most recent engagement took a 30-person marketing agency from browser-only chat usage to a fully configured enterprise deployment, reaching </w:t>
      </w:r>
      <w:r>
        <w:rPr>
          <w:b/>
          <w:bCs/>
        </w:rPr>
        <w:t>70% staff adoption in two months</w:t>
      </w:r>
      <w:r>
        <w:t xml:space="preserve"> with core client-delivery tasks cut from days to hours. That adoption work sits on top of two decades delivering under Ofgem regulation and annual external audit, including a </w:t>
      </w:r>
      <w:r>
        <w:rPr>
          <w:b/>
          <w:bCs/>
        </w:rPr>
        <w:t>£2 billion</w:t>
      </w:r>
      <w:r>
        <w:t xml:space="preserve"> government-mandated payment programme cleared through full government audit and a </w:t>
      </w:r>
      <w:r>
        <w:rPr>
          <w:b/>
          <w:bCs/>
        </w:rPr>
        <w:t>7-million-customer</w:t>
      </w:r>
      <w:r>
        <w:t xml:space="preserve"> SAP migration </w:t>
      </w:r>
      <w:r w:rsidR="00827C82">
        <w:t>-</w:t>
      </w:r>
      <w:r>
        <w:t xml:space="preserve"> control and evidence discipline that transfers directly into AI governance, human oversight and model risk. Alongside delivery, originated, business-cased and closed </w:t>
      </w:r>
      <w:r>
        <w:rPr>
          <w:b/>
          <w:bCs/>
        </w:rPr>
        <w:t>£1.5m</w:t>
      </w:r>
      <w:r>
        <w:t xml:space="preserve"> of client-funded work and led design and delivery functions of up to 40 people. Seeking a senior AI transformation role building organisation-wide adoption capability where regulatory rigour is a requirement rather than an afterthought.</w:t>
      </w:r>
    </w:p>
    <w:p w14:paraId="503AD284" w14:textId="77777777" w:rsidR="00C117EF" w:rsidRDefault="008754FF">
      <w:pPr>
        <w:pBdr>
          <w:bottom w:val="single" w:sz="6" w:space="0" w:color="1F4E5F"/>
        </w:pBdr>
        <w:spacing w:before="200" w:after="100"/>
      </w:pPr>
      <w:r>
        <w:rPr>
          <w:b/>
          <w:bCs/>
          <w:caps/>
          <w:color w:val="1F4E5F"/>
          <w:sz w:val="24"/>
          <w:szCs w:val="24"/>
        </w:rPr>
        <w:t>Core Competencies</w:t>
      </w:r>
    </w:p>
    <w:p w14:paraId="69E1FCDC" w14:textId="2F712B92" w:rsidR="00C117EF" w:rsidRDefault="008754FF" w:rsidP="00827C82">
      <w:pPr>
        <w:spacing w:after="40"/>
      </w:pPr>
      <w:r>
        <w:t>AI Adoption Strategy &amp; Roadmapping | Change Management &amp; User Adoption | AI Tool Evaluation &amp; Vendor Assessment | AI Governance, Risk &amp; Human Oversight | Pilot Design &amp; Execution | ROI Measurement &amp; Benefits Realisation</w:t>
      </w:r>
      <w:r w:rsidR="00827C82">
        <w:t xml:space="preserve"> | </w:t>
      </w:r>
      <w:r>
        <w:t>Prompt Engineering &amp; LLM Implementation | Workflow Automation &amp; Systems Integration | Business Process Analysis &amp; Redesign | Regulatory Compliance &amp; Audit Delivery | Senior Stakeholder Management | Programme Governance (PRINCE2 7) &amp; Agile Delivery (Scrum)</w:t>
      </w:r>
    </w:p>
    <w:p w14:paraId="1DAE7BBC" w14:textId="77777777" w:rsidR="00C117EF" w:rsidRDefault="008754FF">
      <w:pPr>
        <w:pBdr>
          <w:bottom w:val="single" w:sz="6" w:space="0" w:color="1F4E5F"/>
        </w:pBdr>
        <w:spacing w:before="200" w:after="100"/>
      </w:pPr>
      <w:r>
        <w:rPr>
          <w:b/>
          <w:bCs/>
          <w:caps/>
          <w:color w:val="1F4E5F"/>
          <w:sz w:val="24"/>
          <w:szCs w:val="24"/>
        </w:rPr>
        <w:t>Professional Experience</w:t>
      </w:r>
    </w:p>
    <w:p w14:paraId="49CD9FC8" w14:textId="77777777" w:rsidR="00C117EF" w:rsidRDefault="008754FF">
      <w:pPr>
        <w:tabs>
          <w:tab w:val="right" w:pos="10106"/>
        </w:tabs>
        <w:spacing w:before="130" w:after="50"/>
      </w:pPr>
      <w:r>
        <w:rPr>
          <w:b/>
          <w:bCs/>
          <w:sz w:val="22"/>
          <w:szCs w:val="22"/>
        </w:rPr>
        <w:t>Independent - AI Transformation Consultant</w:t>
      </w:r>
      <w:r>
        <w:rPr>
          <w:i/>
          <w:iCs/>
        </w:rPr>
        <w:tab/>
        <w:t>2025 – Present</w:t>
      </w:r>
    </w:p>
    <w:p w14:paraId="7077963E" w14:textId="77777777" w:rsidR="00C117EF" w:rsidRDefault="008754FF">
      <w:pPr>
        <w:pStyle w:val="ListParagraph"/>
        <w:numPr>
          <w:ilvl w:val="0"/>
          <w:numId w:val="2"/>
        </w:numPr>
        <w:spacing w:after="60"/>
        <w:jc w:val="both"/>
      </w:pPr>
      <w:r>
        <w:rPr>
          <w:b/>
          <w:bCs/>
        </w:rPr>
        <w:t>Enterprise AI adoption programme - marketing agency, 30 staff (2-month engagement):</w:t>
      </w:r>
      <w:r>
        <w:t xml:space="preserve"> Engaged to audit an underused Claude Enterprise estate. Diagnosed the capability gap - browser-only usage, no connectors, plugins, Projects or automation - assessed options against the firm's client-confidentiality and data-handling constraints, and designed the full implementation: executive strategy deck, 24-setting configuration manual, and plugin-based automation of campaign execution, month-end close, payroll planning and weekly briefings, with connectors scoped across HubSpot, Ahrefs, Canva, QuickBooks, PayPal and DocuSign.</w:t>
      </w:r>
    </w:p>
    <w:p w14:paraId="36CBB984" w14:textId="77777777" w:rsidR="00C117EF" w:rsidRDefault="008754FF">
      <w:pPr>
        <w:pStyle w:val="ListParagraph"/>
        <w:numPr>
          <w:ilvl w:val="0"/>
          <w:numId w:val="2"/>
        </w:numPr>
        <w:spacing w:after="60"/>
        <w:jc w:val="both"/>
      </w:pPr>
      <w:r>
        <w:rPr>
          <w:b/>
          <w:bCs/>
        </w:rPr>
        <w:t>Measured outcome:</w:t>
      </w:r>
      <w:r>
        <w:t xml:space="preserve"> 70% of staff adopted within two months and recommendations were implemented in full - the agency now runs client delivery and business operations through the platform. Agency-recorded task times: campaign brief and strategy 4-6 hours to under 1 hour; SEO audit 1-2 days to under 2 hours; monthly content package 3 days to 6 hours per client; competitive analysis 2-3 days to 2-3 hours; performance reporting 3-4 hours to 30-45 minutes. Leadership also reported a marked improvement in output quality, attributed to shared organisational context reaching every user rather than staying with individuals.</w:t>
      </w:r>
    </w:p>
    <w:p w14:paraId="4098D37F" w14:textId="77777777" w:rsidR="00C117EF" w:rsidRDefault="008754FF">
      <w:pPr>
        <w:tabs>
          <w:tab w:val="right" w:pos="10106"/>
        </w:tabs>
        <w:spacing w:before="130" w:after="50"/>
      </w:pPr>
      <w:r>
        <w:rPr>
          <w:b/>
          <w:bCs/>
          <w:sz w:val="22"/>
          <w:szCs w:val="22"/>
        </w:rPr>
        <w:t>Cognizant - Associate Director (Programme Manager / Solution Architect)</w:t>
      </w:r>
      <w:r>
        <w:rPr>
          <w:i/>
          <w:iCs/>
        </w:rPr>
        <w:tab/>
        <w:t>Dec 2020 – Present</w:t>
      </w:r>
    </w:p>
    <w:p w14:paraId="41F6811C" w14:textId="77777777" w:rsidR="00C117EF" w:rsidRDefault="008754FF">
      <w:pPr>
        <w:pStyle w:val="ListParagraph"/>
        <w:numPr>
          <w:ilvl w:val="0"/>
          <w:numId w:val="2"/>
        </w:numPr>
        <w:spacing w:after="60"/>
        <w:jc w:val="both"/>
      </w:pPr>
      <w:r>
        <w:rPr>
          <w:b/>
          <w:bCs/>
        </w:rPr>
        <w:t>EBSS Programme (£2bn scheme value, £2m delivery budget, 2022–2023):</w:t>
      </w:r>
      <w:r>
        <w:t xml:space="preserve"> Sole solution architect and programme manager for the British Gas response to the UK Government's Energy Bills Support Scheme - design, build and delivery of a payment mechanism distributing £400 to qualifying customers over 6 monthly instalments. Delivered on schedule; the programme paid out £2 billion in full and cleared formal government audit on completion.</w:t>
      </w:r>
    </w:p>
    <w:p w14:paraId="28C3DE13" w14:textId="77777777" w:rsidR="00C117EF" w:rsidRDefault="008754FF">
      <w:pPr>
        <w:pStyle w:val="ListParagraph"/>
        <w:numPr>
          <w:ilvl w:val="0"/>
          <w:numId w:val="2"/>
        </w:numPr>
        <w:spacing w:after="60"/>
        <w:jc w:val="both"/>
      </w:pPr>
      <w:r>
        <w:rPr>
          <w:b/>
          <w:bCs/>
        </w:rPr>
        <w:t>SAP Customer Migration Programme (7m customers, 2020–2023):</w:t>
      </w:r>
      <w:r>
        <w:t xml:space="preserve"> Designed the SAP migration toolset and programme-managed the end-to-end migration of over 7 million British Gas energy customers from SAP IS-U to a new cloud-based billing platform - equivalent in scope and complexity to an IS-U to S/4HANA Utilities migration. Held budget accountability of £5m and led a cross-functional delivery team of 12 over 3 years, maintaining data integrity and billing continuity throughout.</w:t>
      </w:r>
    </w:p>
    <w:p w14:paraId="7D2B3CA4" w14:textId="77777777" w:rsidR="00C117EF" w:rsidRDefault="008754FF">
      <w:pPr>
        <w:pStyle w:val="ListParagraph"/>
        <w:numPr>
          <w:ilvl w:val="0"/>
          <w:numId w:val="2"/>
        </w:numPr>
        <w:spacing w:after="60"/>
        <w:jc w:val="both"/>
      </w:pPr>
      <w:r>
        <w:rPr>
          <w:b/>
          <w:bCs/>
        </w:rPr>
        <w:t>New business origination (£1.5m):</w:t>
      </w:r>
      <w:r>
        <w:t xml:space="preserve"> Identified two commercial opportunities within the British Gas account, built the business cases and pitched them directly to the client. Both were funded and delivered through Cognizant - a migration toolset (£1m) and a tariff builder (£500k).</w:t>
      </w:r>
    </w:p>
    <w:p w14:paraId="7EC25330" w14:textId="77777777" w:rsidR="00C117EF" w:rsidRDefault="008754FF">
      <w:pPr>
        <w:pStyle w:val="ListParagraph"/>
        <w:numPr>
          <w:ilvl w:val="0"/>
          <w:numId w:val="2"/>
        </w:numPr>
        <w:spacing w:after="60"/>
        <w:jc w:val="both"/>
      </w:pPr>
      <w:r>
        <w:rPr>
          <w:b/>
          <w:bCs/>
        </w:rPr>
        <w:t>Design assurance across concurrent workstreams:</w:t>
      </w:r>
      <w:r>
        <w:t xml:space="preserve"> Converted competing technical constraints into costed, comparable business options for IT, Finance and Regulatory stakeholders, keeping decisions moving at release pace against fixed regulatory deadlines.</w:t>
      </w:r>
    </w:p>
    <w:p w14:paraId="7FFE6320" w14:textId="77777777" w:rsidR="00C117EF" w:rsidRDefault="008754FF">
      <w:pPr>
        <w:tabs>
          <w:tab w:val="right" w:pos="10106"/>
        </w:tabs>
        <w:spacing w:before="130" w:after="50"/>
      </w:pPr>
      <w:r>
        <w:rPr>
          <w:b/>
          <w:bCs/>
          <w:sz w:val="22"/>
          <w:szCs w:val="22"/>
        </w:rPr>
        <w:lastRenderedPageBreak/>
        <w:t>Centrica / British Gas - Principal Consultant - Head of Billing IT Design</w:t>
      </w:r>
      <w:r>
        <w:rPr>
          <w:i/>
          <w:iCs/>
        </w:rPr>
        <w:tab/>
        <w:t>Oct 2004 – Nov 2020</w:t>
      </w:r>
    </w:p>
    <w:p w14:paraId="5D2DCB38" w14:textId="77777777" w:rsidR="00C117EF" w:rsidRDefault="008754FF">
      <w:pPr>
        <w:pStyle w:val="ListParagraph"/>
        <w:numPr>
          <w:ilvl w:val="0"/>
          <w:numId w:val="2"/>
        </w:numPr>
        <w:spacing w:after="60"/>
        <w:jc w:val="both"/>
      </w:pPr>
      <w:r>
        <w:t>Head of Billing IT design for the British Gas SAP IS-U billing platform - the largest retail energy billing system in the UK, servicing up to 15 million contracts at peak. Led a design function of 12–40 people across a 16-year tenure, owning end-to-end solution design for all billing system change.</w:t>
      </w:r>
    </w:p>
    <w:p w14:paraId="40DA0247" w14:textId="77777777" w:rsidR="00C117EF" w:rsidRDefault="008754FF">
      <w:pPr>
        <w:pStyle w:val="ListParagraph"/>
        <w:numPr>
          <w:ilvl w:val="0"/>
          <w:numId w:val="2"/>
        </w:numPr>
        <w:spacing w:after="60"/>
        <w:jc w:val="both"/>
      </w:pPr>
      <w:r>
        <w:rPr>
          <w:b/>
          <w:bCs/>
        </w:rPr>
        <w:t>Regulatory delivery:</w:t>
      </w:r>
      <w:r>
        <w:t xml:space="preserve"> Principal IT lead for OFGEM compliance programmes, the £10m 2013 Energy Retail Market Review programme, and successive price cap and tariff change implementations - translating complex regulatory obligations into SAP billing solutions within mandated timescales.</w:t>
      </w:r>
    </w:p>
    <w:p w14:paraId="06963CF5" w14:textId="77777777" w:rsidR="00C117EF" w:rsidRDefault="008754FF">
      <w:pPr>
        <w:pStyle w:val="ListParagraph"/>
        <w:numPr>
          <w:ilvl w:val="0"/>
          <w:numId w:val="2"/>
        </w:numPr>
        <w:spacing w:after="60"/>
        <w:jc w:val="both"/>
      </w:pPr>
      <w:r>
        <w:rPr>
          <w:b/>
          <w:bCs/>
        </w:rPr>
        <w:t>Annual KPMG audit:</w:t>
      </w:r>
      <w:r>
        <w:t xml:space="preserve"> Sole IT liaison for the annual KPMG compliance audit covering all billing, metering and finance-related system changes; responsible for evidencing the integrity and auditability of the SAP billing platform year on year - the same evidence, control and human-oversight discipline now applied to AI governance.</w:t>
      </w:r>
    </w:p>
    <w:p w14:paraId="4CAD2A57" w14:textId="77777777" w:rsidR="00C117EF" w:rsidRDefault="008754FF">
      <w:pPr>
        <w:pStyle w:val="ListParagraph"/>
        <w:numPr>
          <w:ilvl w:val="0"/>
          <w:numId w:val="2"/>
        </w:numPr>
        <w:spacing w:after="60"/>
        <w:jc w:val="both"/>
      </w:pPr>
      <w:r>
        <w:rPr>
          <w:b/>
          <w:bCs/>
        </w:rPr>
        <w:t>Scrum Master - Payment Scheme Simplification (9 months, team of 4):</w:t>
      </w:r>
      <w:r>
        <w:t xml:space="preserve"> Led delivery of a simplified customer explanation of new monthly Direct Debit amounts - facilitating sprint events, managing the backlog with the Product Owner and removing impediments. One of numerous SAP projects led as Scrum Master alongside the waterfall portfolio.</w:t>
      </w:r>
    </w:p>
    <w:p w14:paraId="2A3E334F" w14:textId="77777777" w:rsidR="00C117EF" w:rsidRDefault="008754FF">
      <w:pPr>
        <w:spacing w:before="130" w:after="50"/>
      </w:pPr>
      <w:r>
        <w:rPr>
          <w:b/>
          <w:bCs/>
          <w:sz w:val="22"/>
          <w:szCs w:val="22"/>
        </w:rPr>
        <w:t>Earlier Career</w:t>
      </w:r>
    </w:p>
    <w:p w14:paraId="2F432029" w14:textId="77777777" w:rsidR="00C117EF" w:rsidRDefault="008754FF">
      <w:pPr>
        <w:pStyle w:val="ListParagraph"/>
        <w:numPr>
          <w:ilvl w:val="0"/>
          <w:numId w:val="2"/>
        </w:numPr>
        <w:spacing w:after="60"/>
        <w:jc w:val="both"/>
      </w:pPr>
      <w:r>
        <w:rPr>
          <w:b/>
          <w:bCs/>
        </w:rPr>
        <w:t>British Gas - Contractor (Solution Design Lead)</w:t>
      </w:r>
      <w:r>
        <w:t>, 2002 – 2004: Led a team of designers assessing business and regulatory change, producing solution designs aligned to SAP IS-U strategy.</w:t>
      </w:r>
    </w:p>
    <w:p w14:paraId="3D35A328" w14:textId="77777777" w:rsidR="00C117EF" w:rsidRDefault="008754FF">
      <w:pPr>
        <w:pStyle w:val="ListParagraph"/>
        <w:numPr>
          <w:ilvl w:val="0"/>
          <w:numId w:val="2"/>
        </w:numPr>
        <w:spacing w:after="60"/>
        <w:jc w:val="both"/>
      </w:pPr>
      <w:r>
        <w:rPr>
          <w:b/>
          <w:bCs/>
        </w:rPr>
        <w:t>Accenture - Senior Consultant</w:t>
      </w:r>
      <w:r>
        <w:t>, 1995 – 2002: Seven years in tier-one consulting, delivering the design, development and implementation of the Customer/1 (UK) utility billing system for British Gas.</w:t>
      </w:r>
    </w:p>
    <w:p w14:paraId="4DC0FC57" w14:textId="77777777" w:rsidR="00C117EF" w:rsidRDefault="008754FF">
      <w:pPr>
        <w:pStyle w:val="ListParagraph"/>
        <w:numPr>
          <w:ilvl w:val="0"/>
          <w:numId w:val="2"/>
        </w:numPr>
        <w:spacing w:after="60"/>
        <w:jc w:val="both"/>
      </w:pPr>
      <w:r>
        <w:rPr>
          <w:b/>
          <w:bCs/>
        </w:rPr>
        <w:t>British Telecom - Teradata Consultant</w:t>
      </w:r>
      <w:r>
        <w:t xml:space="preserve">, 1995; </w:t>
      </w:r>
      <w:r>
        <w:rPr>
          <w:b/>
          <w:bCs/>
        </w:rPr>
        <w:t>Abbey National (Santander) - Analyst Programmer</w:t>
      </w:r>
      <w:r>
        <w:t>, 1991 - 1995: Data management and systems redesign roles building foundational large-scale data expertise.</w:t>
      </w:r>
    </w:p>
    <w:p w14:paraId="7F9D6207" w14:textId="77777777" w:rsidR="00C117EF" w:rsidRDefault="008754FF">
      <w:pPr>
        <w:pBdr>
          <w:bottom w:val="single" w:sz="6" w:space="0" w:color="1F4E5F"/>
        </w:pBdr>
        <w:spacing w:before="200" w:after="100"/>
      </w:pPr>
      <w:r>
        <w:rPr>
          <w:b/>
          <w:bCs/>
          <w:caps/>
          <w:color w:val="1F4E5F"/>
          <w:sz w:val="24"/>
          <w:szCs w:val="24"/>
        </w:rPr>
        <w:t>Selected AI Projects</w:t>
      </w:r>
    </w:p>
    <w:p w14:paraId="53C6B13C" w14:textId="77777777" w:rsidR="00C117EF" w:rsidRDefault="008754FF">
      <w:pPr>
        <w:pStyle w:val="ListParagraph"/>
        <w:numPr>
          <w:ilvl w:val="0"/>
          <w:numId w:val="2"/>
        </w:numPr>
        <w:spacing w:after="60"/>
        <w:jc w:val="both"/>
      </w:pPr>
      <w:r>
        <w:rPr>
          <w:b/>
          <w:bCs/>
        </w:rPr>
        <w:t>Regulatory Intelligence Assistant (Ria):</w:t>
      </w:r>
      <w:r>
        <w:t xml:space="preserve"> Retrieval-augmented AI assistant grounded in Ofgem Standard Licence Conditions, enabling natural-language interrogation of regulatory obligations with answers traceable to source licence text - addressing the hallucination and auditability risks that block AI use in compliance.</w:t>
      </w:r>
    </w:p>
    <w:p w14:paraId="088A2D08" w14:textId="77777777" w:rsidR="00C117EF" w:rsidRDefault="008754FF">
      <w:pPr>
        <w:pStyle w:val="ListParagraph"/>
        <w:numPr>
          <w:ilvl w:val="0"/>
          <w:numId w:val="2"/>
        </w:numPr>
        <w:spacing w:after="60"/>
        <w:jc w:val="both"/>
      </w:pPr>
      <w:r>
        <w:rPr>
          <w:b/>
          <w:bCs/>
        </w:rPr>
        <w:t>End-to-end AI adoption method:</w:t>
      </w:r>
      <w:r>
        <w:t xml:space="preserve"> Documented method covering strategic alignment, readiness, opportunity identification, pilot, delivery and run, with governance, capability and measurement as continuous threads. Researched from evidence on why adoption programmes stall rather than from vendor material, and constrained to a one-page process plus six templates - a method nobody can hold in their head does not get used.</w:t>
      </w:r>
    </w:p>
    <w:p w14:paraId="37EE4467" w14:textId="77777777" w:rsidR="00C117EF" w:rsidRDefault="008754FF">
      <w:pPr>
        <w:pStyle w:val="ListParagraph"/>
        <w:numPr>
          <w:ilvl w:val="0"/>
          <w:numId w:val="2"/>
        </w:numPr>
        <w:spacing w:after="60"/>
        <w:jc w:val="both"/>
      </w:pPr>
      <w:r>
        <w:rPr>
          <w:b/>
          <w:bCs/>
        </w:rPr>
        <w:t>AI governance and responsible adoption:</w:t>
      </w:r>
      <w:r>
        <w:t xml:space="preserve"> Assess data-handling, confidentiality and human-oversight requirements before tool selection rather than after, and design evidence trails so AI-assisted decisions stay auditable - grounded in twenty years of Ofgem compliance delivery and external audit.</w:t>
      </w:r>
    </w:p>
    <w:p w14:paraId="4AC2FB9C" w14:textId="77777777" w:rsidR="00C117EF" w:rsidRDefault="008754FF">
      <w:pPr>
        <w:pStyle w:val="ListParagraph"/>
        <w:numPr>
          <w:ilvl w:val="0"/>
          <w:numId w:val="2"/>
        </w:numPr>
        <w:spacing w:after="60"/>
        <w:jc w:val="both"/>
      </w:pPr>
      <w:r>
        <w:rPr>
          <w:b/>
          <w:bCs/>
        </w:rPr>
        <w:t>Applied AI build portfolio (2025–2026):</w:t>
      </w:r>
      <w:r>
        <w:t xml:space="preserve"> Working tools built end-to-end - problem definition, tool selection, build, live use, iteration: a Python/Anthropic API job-matching engine, an HMRC Making Tax Digital tool used for live quarterly submissions, a decision-support assistant and a personal analytics dashboard.</w:t>
      </w:r>
    </w:p>
    <w:p w14:paraId="353B617F" w14:textId="77777777" w:rsidR="00C117EF" w:rsidRDefault="008754FF">
      <w:pPr>
        <w:pBdr>
          <w:bottom w:val="single" w:sz="6" w:space="0" w:color="1F4E5F"/>
        </w:pBdr>
        <w:spacing w:before="200" w:after="100"/>
      </w:pPr>
      <w:r>
        <w:rPr>
          <w:b/>
          <w:bCs/>
          <w:caps/>
          <w:color w:val="1F4E5F"/>
          <w:sz w:val="24"/>
          <w:szCs w:val="24"/>
        </w:rPr>
        <w:t>Thought Leadership</w:t>
      </w:r>
    </w:p>
    <w:p w14:paraId="4218061A" w14:textId="77777777" w:rsidR="00C117EF" w:rsidRDefault="008754FF">
      <w:pPr>
        <w:pStyle w:val="ListParagraph"/>
        <w:numPr>
          <w:ilvl w:val="0"/>
          <w:numId w:val="2"/>
        </w:numPr>
        <w:spacing w:after="60"/>
        <w:jc w:val="both"/>
      </w:pPr>
      <w:r>
        <w:rPr>
          <w:b/>
          <w:bCs/>
        </w:rPr>
        <w:t>LinkedIn article series on applied AI (ongoing):</w:t>
      </w:r>
      <w:r>
        <w:t xml:space="preserve"> One article per tool built - the problem, the build, and what changed as a result.</w:t>
      </w:r>
    </w:p>
    <w:p w14:paraId="2EAED96E" w14:textId="77777777" w:rsidR="00C117EF" w:rsidRDefault="008754FF">
      <w:pPr>
        <w:pStyle w:val="ListParagraph"/>
        <w:numPr>
          <w:ilvl w:val="0"/>
          <w:numId w:val="2"/>
        </w:numPr>
        <w:spacing w:after="60"/>
        <w:jc w:val="both"/>
      </w:pPr>
      <w:r>
        <w:rPr>
          <w:b/>
          <w:bCs/>
        </w:rPr>
        <w:t>Invited participant, "Leadership Breakfast: AI Beyond the Pilot" (London, August 2026):</w:t>
      </w:r>
      <w:r>
        <w:t xml:space="preserve"> Senior-leader roundtable on why AI pilots stall short of organisation-wide adoption, with founders, CTOs and PE operating partners.</w:t>
      </w:r>
    </w:p>
    <w:p w14:paraId="04D81D77" w14:textId="77777777" w:rsidR="00C117EF" w:rsidRDefault="008754FF">
      <w:pPr>
        <w:pBdr>
          <w:bottom w:val="single" w:sz="6" w:space="0" w:color="1F4E5F"/>
        </w:pBdr>
        <w:spacing w:before="200" w:after="100"/>
      </w:pPr>
      <w:r>
        <w:rPr>
          <w:b/>
          <w:bCs/>
          <w:caps/>
          <w:color w:val="1F4E5F"/>
          <w:sz w:val="24"/>
          <w:szCs w:val="24"/>
        </w:rPr>
        <w:t>Education, Certifications &amp; Skills</w:t>
      </w:r>
    </w:p>
    <w:p w14:paraId="71EF2329" w14:textId="77777777" w:rsidR="00C117EF" w:rsidRDefault="008754FF">
      <w:pPr>
        <w:spacing w:after="40"/>
      </w:pPr>
      <w:r>
        <w:rPr>
          <w:b/>
          <w:bCs/>
        </w:rPr>
        <w:t xml:space="preserve">Education: </w:t>
      </w:r>
      <w:r>
        <w:t>BSc (Hons) Computing - Napier University, Edinburgh</w:t>
      </w:r>
    </w:p>
    <w:p w14:paraId="7E24E04A" w14:textId="77777777" w:rsidR="00C117EF" w:rsidRDefault="008754FF">
      <w:pPr>
        <w:spacing w:after="40"/>
      </w:pPr>
      <w:r>
        <w:rPr>
          <w:b/>
          <w:bCs/>
        </w:rPr>
        <w:t xml:space="preserve">AI: </w:t>
      </w:r>
      <w:r>
        <w:t>AWS Certified AI Practitioner (AWS, 2026) | Anthropic AI Fluency (Anthropic, 2026) | Google AI Professional Certificate (Google, 2026) | Microsoft 365 with Generative AI (Microsoft, 2026)</w:t>
      </w:r>
    </w:p>
    <w:p w14:paraId="67BD7596" w14:textId="77777777" w:rsidR="00C117EF" w:rsidRDefault="008754FF">
      <w:pPr>
        <w:spacing w:after="40"/>
      </w:pPr>
      <w:r>
        <w:rPr>
          <w:b/>
          <w:bCs/>
        </w:rPr>
        <w:t xml:space="preserve">Programme &amp; Project Management: </w:t>
      </w:r>
      <w:r>
        <w:t>PRINCE2 7 Foundation &amp; Practitioner (PeopleCert, 2026) | Professional Scrum Master I &amp; II (Scrum.org, 2026) | Professional Scrum Product Owner I &amp; II (Scrum.org, 2026)</w:t>
      </w:r>
    </w:p>
    <w:p w14:paraId="6A54DB53" w14:textId="0D940A37" w:rsidR="00C117EF" w:rsidRDefault="008754FF">
      <w:pPr>
        <w:spacing w:after="40"/>
      </w:pPr>
      <w:r>
        <w:rPr>
          <w:b/>
          <w:bCs/>
        </w:rPr>
        <w:t xml:space="preserve">Cloud &amp; Technology: </w:t>
      </w:r>
      <w:r>
        <w:t>AWS Certified Cloud Practitioner (AWS, 2026) | SAP ABAP Development Consultant (SAP, 20</w:t>
      </w:r>
      <w:r w:rsidR="00123C90">
        <w:t>10</w:t>
      </w:r>
      <w:r>
        <w:t xml:space="preserve">) | Python (intermediate) </w:t>
      </w:r>
      <w:r w:rsidR="001C38B4">
        <w:t xml:space="preserve">2024 </w:t>
      </w:r>
      <w:r>
        <w:t>| SQL |</w:t>
      </w:r>
    </w:p>
    <w:p w14:paraId="546EE534" w14:textId="77777777" w:rsidR="00C117EF" w:rsidRDefault="008754FF">
      <w:pPr>
        <w:spacing w:after="60"/>
      </w:pPr>
      <w:r>
        <w:rPr>
          <w:b/>
          <w:bCs/>
        </w:rPr>
        <w:t xml:space="preserve">Domain: </w:t>
      </w:r>
      <w:r>
        <w:t>SAP IS-U Billing Architecture | SAP ECC | UK Retail Energy Market | Design Assurance</w:t>
      </w:r>
    </w:p>
    <w:sectPr w:rsidR="00C117EF">
      <w:pgSz w:w="11906" w:h="16838"/>
      <w:pgMar w:top="680" w:right="900" w:bottom="6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B0A94"/>
    <w:multiLevelType w:val="hybridMultilevel"/>
    <w:tmpl w:val="063C7766"/>
    <w:lvl w:ilvl="0" w:tplc="2A5683A2">
      <w:start w:val="1"/>
      <w:numFmt w:val="bullet"/>
      <w:lvlText w:val="●"/>
      <w:lvlJc w:val="left"/>
      <w:pPr>
        <w:ind w:left="720" w:hanging="360"/>
      </w:pPr>
    </w:lvl>
    <w:lvl w:ilvl="1" w:tplc="4BEC2ABE">
      <w:start w:val="1"/>
      <w:numFmt w:val="bullet"/>
      <w:lvlText w:val="○"/>
      <w:lvlJc w:val="left"/>
      <w:pPr>
        <w:ind w:left="1440" w:hanging="360"/>
      </w:pPr>
    </w:lvl>
    <w:lvl w:ilvl="2" w:tplc="3C4C8DCA">
      <w:start w:val="1"/>
      <w:numFmt w:val="bullet"/>
      <w:lvlText w:val="■"/>
      <w:lvlJc w:val="left"/>
      <w:pPr>
        <w:ind w:left="2160" w:hanging="360"/>
      </w:pPr>
    </w:lvl>
    <w:lvl w:ilvl="3" w:tplc="18EEAB88">
      <w:start w:val="1"/>
      <w:numFmt w:val="bullet"/>
      <w:lvlText w:val="●"/>
      <w:lvlJc w:val="left"/>
      <w:pPr>
        <w:ind w:left="2880" w:hanging="360"/>
      </w:pPr>
    </w:lvl>
    <w:lvl w:ilvl="4" w:tplc="FE90723E">
      <w:start w:val="1"/>
      <w:numFmt w:val="bullet"/>
      <w:lvlText w:val="○"/>
      <w:lvlJc w:val="left"/>
      <w:pPr>
        <w:ind w:left="3600" w:hanging="360"/>
      </w:pPr>
    </w:lvl>
    <w:lvl w:ilvl="5" w:tplc="4554FD04">
      <w:start w:val="1"/>
      <w:numFmt w:val="bullet"/>
      <w:lvlText w:val="■"/>
      <w:lvlJc w:val="left"/>
      <w:pPr>
        <w:ind w:left="4320" w:hanging="360"/>
      </w:pPr>
    </w:lvl>
    <w:lvl w:ilvl="6" w:tplc="203024CC">
      <w:start w:val="1"/>
      <w:numFmt w:val="bullet"/>
      <w:lvlText w:val="●"/>
      <w:lvlJc w:val="left"/>
      <w:pPr>
        <w:ind w:left="5040" w:hanging="360"/>
      </w:pPr>
    </w:lvl>
    <w:lvl w:ilvl="7" w:tplc="0C52E98C">
      <w:start w:val="1"/>
      <w:numFmt w:val="bullet"/>
      <w:lvlText w:val="●"/>
      <w:lvlJc w:val="left"/>
      <w:pPr>
        <w:ind w:left="5760" w:hanging="360"/>
      </w:pPr>
    </w:lvl>
    <w:lvl w:ilvl="8" w:tplc="5C52294E">
      <w:start w:val="1"/>
      <w:numFmt w:val="bullet"/>
      <w:lvlText w:val="●"/>
      <w:lvlJc w:val="left"/>
      <w:pPr>
        <w:ind w:left="6480" w:hanging="360"/>
      </w:pPr>
    </w:lvl>
  </w:abstractNum>
  <w:abstractNum w:abstractNumId="1" w15:restartNumberingAfterBreak="0">
    <w:nsid w:val="2F5D44B5"/>
    <w:multiLevelType w:val="hybridMultilevel"/>
    <w:tmpl w:val="0C72ABB8"/>
    <w:lvl w:ilvl="0" w:tplc="42309146">
      <w:start w:val="1"/>
      <w:numFmt w:val="bullet"/>
      <w:lvlText w:val="•"/>
      <w:lvlJc w:val="left"/>
      <w:pPr>
        <w:ind w:left="360" w:hanging="200"/>
      </w:pPr>
    </w:lvl>
    <w:lvl w:ilvl="1" w:tplc="C592EBEA">
      <w:numFmt w:val="decimal"/>
      <w:lvlText w:val=""/>
      <w:lvlJc w:val="left"/>
    </w:lvl>
    <w:lvl w:ilvl="2" w:tplc="0922B9E0">
      <w:numFmt w:val="decimal"/>
      <w:lvlText w:val=""/>
      <w:lvlJc w:val="left"/>
    </w:lvl>
    <w:lvl w:ilvl="3" w:tplc="49D0410C">
      <w:numFmt w:val="decimal"/>
      <w:lvlText w:val=""/>
      <w:lvlJc w:val="left"/>
    </w:lvl>
    <w:lvl w:ilvl="4" w:tplc="B88A2FFC">
      <w:numFmt w:val="decimal"/>
      <w:lvlText w:val=""/>
      <w:lvlJc w:val="left"/>
    </w:lvl>
    <w:lvl w:ilvl="5" w:tplc="4182676C">
      <w:numFmt w:val="decimal"/>
      <w:lvlText w:val=""/>
      <w:lvlJc w:val="left"/>
    </w:lvl>
    <w:lvl w:ilvl="6" w:tplc="10B4140C">
      <w:numFmt w:val="decimal"/>
      <w:lvlText w:val=""/>
      <w:lvlJc w:val="left"/>
    </w:lvl>
    <w:lvl w:ilvl="7" w:tplc="5D7A8110">
      <w:numFmt w:val="decimal"/>
      <w:lvlText w:val=""/>
      <w:lvlJc w:val="left"/>
    </w:lvl>
    <w:lvl w:ilvl="8" w:tplc="BEA427F8">
      <w:numFmt w:val="decimal"/>
      <w:lvlText w:val=""/>
      <w:lvlJc w:val="left"/>
    </w:lvl>
  </w:abstractNum>
  <w:num w:numId="1" w16cid:durableId="1316454166">
    <w:abstractNumId w:val="0"/>
    <w:lvlOverride w:ilvl="0">
      <w:startOverride w:val="1"/>
    </w:lvlOverride>
  </w:num>
  <w:num w:numId="2" w16cid:durableId="10169259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7EF"/>
    <w:rsid w:val="00123C90"/>
    <w:rsid w:val="001C38B4"/>
    <w:rsid w:val="003A3BB8"/>
    <w:rsid w:val="004B5657"/>
    <w:rsid w:val="00827C82"/>
    <w:rsid w:val="008754FF"/>
    <w:rsid w:val="00C11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C936"/>
  <w15:docId w15:val="{1DF7E4A1-817B-4C91-9AF5-C1881E89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Scott Marshall</cp:lastModifiedBy>
  <cp:revision>5</cp:revision>
  <dcterms:created xsi:type="dcterms:W3CDTF">2026-08-06T08:41:00Z</dcterms:created>
  <dcterms:modified xsi:type="dcterms:W3CDTF">2026-08-06T08:44:00Z</dcterms:modified>
</cp:coreProperties>
</file>